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C913C" w14:textId="4CFD6A9F" w:rsid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Na podstawie art. 291c ustawy z dnia 29 sierpnia 1997 r. - Ordynacja podatkowa (t.j. Dz. U.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z 202</w:t>
      </w:r>
      <w:r>
        <w:rPr>
          <w:rFonts w:ascii="Times New Roman" w:hAnsi="Times New Roman" w:cs="Times New Roman"/>
        </w:rPr>
        <w:t>6</w:t>
      </w:r>
      <w:r w:rsidRPr="004549AB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622</w:t>
      </w:r>
      <w:r w:rsidRPr="004549AB">
        <w:rPr>
          <w:rFonts w:ascii="Times New Roman" w:hAnsi="Times New Roman" w:cs="Times New Roman"/>
        </w:rPr>
        <w:t xml:space="preserve"> z późn. zm.) „do kontroli działalności gospodarczej podatnika będącego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 xml:space="preserve">przedsiębiorcą stosuje się przepisy rozdziału 5 ustawy z dnia 6 marca 2018 r. </w:t>
      </w:r>
      <w:r>
        <w:rPr>
          <w:rFonts w:ascii="Times New Roman" w:hAnsi="Times New Roman" w:cs="Times New Roman"/>
        </w:rPr>
        <w:t>–</w:t>
      </w:r>
      <w:r w:rsidRPr="004549AB">
        <w:rPr>
          <w:rFonts w:ascii="Times New Roman" w:hAnsi="Times New Roman" w:cs="Times New Roman"/>
        </w:rPr>
        <w:t xml:space="preserve"> Prawo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przedsiębiorców” (t.j. Dz. U. z 2025 r., poz. 1480 z późn. zm.).</w:t>
      </w:r>
    </w:p>
    <w:p w14:paraId="5B7A3732" w14:textId="77777777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808F05" w14:textId="6F57CB31" w:rsidR="004549AB" w:rsidRPr="004549AB" w:rsidRDefault="004549AB" w:rsidP="004549A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ANALIZA PRAWDOPODOBIEŃSTWA NARUSZENIA PRAWA</w:t>
      </w:r>
      <w:r w:rsidRPr="004549AB"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 OBSZARZE</w:t>
      </w:r>
      <w:r w:rsidRPr="004549AB"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PODATKÓW I OPŁAT LOKALNYCH</w:t>
      </w:r>
    </w:p>
    <w:p w14:paraId="5B5BE472" w14:textId="77777777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1B23FF" w14:textId="0682E7F8" w:rsid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Stosownie do treści art. 47 ust. 1 ustawy z dnia 6 marca 2018 r. - Prawo przedsiębiorców„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kontrole przeprowadza się zgodnie z okresowym planem kontroli po uprzednim dokonaniu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okresowej analizy prawdopodobieństwa naruszenia prawa w ramach wykonywania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działalności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gospodarczej (kontrola planowa). Analiza obejmuje identyfikację obszarów podmiotowych 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przedmiotowych, w których ryzyko naruszenia przepisów jest największe. W oparciu o wyniki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analizy określa się zasady umożliwiające przypisanie przedsiębiorców do jednej z następującej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kategorii ryzyka: niskie, średnie, wysokie. Sposób przeprowadzenia analizy określa organ kontroli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lub organ nadrzędny.”</w:t>
      </w:r>
    </w:p>
    <w:p w14:paraId="7F4344FB" w14:textId="77777777" w:rsidR="004549AB" w:rsidRPr="004549AB" w:rsidRDefault="004549AB" w:rsidP="004549AB">
      <w:pPr>
        <w:spacing w:after="0" w:line="276" w:lineRule="auto"/>
        <w:rPr>
          <w:rFonts w:ascii="Times New Roman" w:hAnsi="Times New Roman" w:cs="Times New Roman"/>
        </w:rPr>
      </w:pPr>
    </w:p>
    <w:p w14:paraId="6897424A" w14:textId="468D01D5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Sposób identyfikacji obszarów nieprawidłowości w opodatkowaniu podatkiem od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nieruchomości przedsiębiorców opiera się przede wszystkim na podstawie analizy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następujących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danych dostępnych:</w:t>
      </w:r>
    </w:p>
    <w:p w14:paraId="0DD70613" w14:textId="721E3198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w bazie ewidencji podatkowej,</w:t>
      </w:r>
    </w:p>
    <w:p w14:paraId="0D10BDAE" w14:textId="600CF596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w ewidencji gruntów i budynków (wypisy i mapy),</w:t>
      </w:r>
    </w:p>
    <w:p w14:paraId="56496738" w14:textId="2150E991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 Centralnej Ewidencji i Informacji o Działalności Gospodarczej,</w:t>
      </w:r>
    </w:p>
    <w:p w14:paraId="5909B339" w14:textId="125B458C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 Krajowego Rejestru Sądowego,</w:t>
      </w:r>
    </w:p>
    <w:p w14:paraId="642D706A" w14:textId="452DE882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 bazy ksiąg wieczystych,</w:t>
      </w:r>
    </w:p>
    <w:p w14:paraId="3E3E8320" w14:textId="51E1EEC4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 innych ogólnodostępnych rejestrów,</w:t>
      </w:r>
    </w:p>
    <w:p w14:paraId="7F393CAF" w14:textId="6A3F49EF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na stronach internetowych, portalach społecznościowych,</w:t>
      </w:r>
    </w:p>
    <w:p w14:paraId="51DA1283" w14:textId="7BCFDEF1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ze zdjęć satelitarnych,</w:t>
      </w:r>
    </w:p>
    <w:p w14:paraId="36051F0E" w14:textId="464D9C50" w:rsid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 obserwacji w terenie.</w:t>
      </w:r>
    </w:p>
    <w:p w14:paraId="3CCAF5B6" w14:textId="77777777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</w:p>
    <w:p w14:paraId="7D853266" w14:textId="77777777" w:rsidR="004549AB" w:rsidRPr="004549AB" w:rsidRDefault="004549AB" w:rsidP="004549AB">
      <w:p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W związku z tym:</w:t>
      </w:r>
    </w:p>
    <w:p w14:paraId="4F3F97A5" w14:textId="2A1592B1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a) identyfikuje się obszar podmiotowy, w którym istnieje ryzyko naruszenia przepisów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ustawy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z dnia 12 stycznia 1991 r. o podatkach i opłatach lokalnych (t.j. Dz. U. z 2025 r., poz. 707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z późn. zm.) jako przedsiębiorców będących podatnikami podatku od nieruchomości;</w:t>
      </w:r>
    </w:p>
    <w:p w14:paraId="602B5EE7" w14:textId="34C74ADB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b) identyfikuje się obszary przedmiotowe, w których następuje ryzyko naruszenia przepisów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ustawy o podatkach i opłatach lokalnych:</w:t>
      </w:r>
    </w:p>
    <w:p w14:paraId="7AE4BCB3" w14:textId="124F64DA" w:rsidR="004549AB" w:rsidRPr="004549AB" w:rsidRDefault="004549AB" w:rsidP="004549AB">
      <w:pPr>
        <w:pStyle w:val="Akapitzlist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zaniżanie bądź niewykazywanie poszczególnych podstaw opodatkowania w składanych</w:t>
      </w:r>
    </w:p>
    <w:p w14:paraId="342817BD" w14:textId="77777777" w:rsidR="004549AB" w:rsidRP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deklaracjach i informacjach,</w:t>
      </w:r>
    </w:p>
    <w:p w14:paraId="0123791E" w14:textId="0DC7B4D3" w:rsidR="004549AB" w:rsidRP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niezgłoszenie do opodatkowania budowli związanych z prowadzoną działalnością</w:t>
      </w:r>
    </w:p>
    <w:p w14:paraId="48EA2401" w14:textId="77777777" w:rsidR="004549AB" w:rsidRP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gospodarczą,</w:t>
      </w:r>
    </w:p>
    <w:p w14:paraId="5974055E" w14:textId="3E5A5E98" w:rsidR="004549AB" w:rsidRP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nieuprawnione korzystanie ze zwolnień od podatków,</w:t>
      </w:r>
    </w:p>
    <w:p w14:paraId="52FEC5A2" w14:textId="289C925F" w:rsid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niewłaściwe stosowanie stawek podatków i opłat lokalnych.</w:t>
      </w:r>
    </w:p>
    <w:p w14:paraId="5FE039CE" w14:textId="77777777" w:rsidR="004549AB" w:rsidRPr="004549AB" w:rsidRDefault="004549AB" w:rsidP="004549AB">
      <w:pPr>
        <w:pStyle w:val="Akapitzlist"/>
        <w:spacing w:after="0" w:line="276" w:lineRule="auto"/>
        <w:rPr>
          <w:rFonts w:ascii="Times New Roman" w:hAnsi="Times New Roman" w:cs="Times New Roman"/>
        </w:rPr>
      </w:pPr>
    </w:p>
    <w:p w14:paraId="12F0B391" w14:textId="5C2EF982" w:rsidR="004549AB" w:rsidRPr="004549AB" w:rsidRDefault="004549AB" w:rsidP="004549AB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lastRenderedPageBreak/>
        <w:t>INFORMACJA O ZASADACH UMOŻLIWIAJĄCYCH PRZYPISANIE</w:t>
      </w:r>
    </w:p>
    <w:p w14:paraId="372581BE" w14:textId="77777777" w:rsidR="004549AB" w:rsidRDefault="004549AB" w:rsidP="004549AB">
      <w:pPr>
        <w:spacing w:after="0" w:line="276" w:lineRule="auto"/>
        <w:ind w:left="744" w:firstLine="336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PRZEDSIĘBIORCÓW DO WŁAŚCIWEJ DLA NICH KATEGORII RYZYKA</w:t>
      </w:r>
    </w:p>
    <w:p w14:paraId="53D5A557" w14:textId="77777777" w:rsidR="004549AB" w:rsidRPr="004549AB" w:rsidRDefault="004549AB" w:rsidP="004549AB">
      <w:pPr>
        <w:spacing w:after="0" w:line="276" w:lineRule="auto"/>
        <w:rPr>
          <w:rFonts w:ascii="Times New Roman" w:hAnsi="Times New Roman" w:cs="Times New Roman"/>
        </w:rPr>
      </w:pPr>
    </w:p>
    <w:p w14:paraId="0487DBA5" w14:textId="1159BE2A" w:rsid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Na podstawie art. 47 ust. 1a ustawy Prawo przedsiębiorców „organ kontroli zamieszcza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 Biuletynie Informacji Publicznej na stronie podmiotowej urzędu obsługującego ten organ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informację o zasadach umożliwiających przypisanie przedsiębiorców do właściwej dla nich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kategorii ryzyka, na podstawie dotychczasowej okresowej analizy, o której mowa w ust. 1,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 terminie 3 miesięcy od dnia przyjęcia kolejnej okresowej analizy, zastępującej dotychczasową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okresową analizę, z wyjątkiem informacji niejawnych oraz innych informacji stanowiących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tajemnicę prawnie chronioną. Zakres udostępnianych informacji podlega ograniczeniu również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ze względu na prywatność osoby fizycznej oraz tajemnicę przedsiębiorcy”.</w:t>
      </w:r>
    </w:p>
    <w:p w14:paraId="68DDCB2B" w14:textId="77777777" w:rsidR="004549AB" w:rsidRPr="004549AB" w:rsidRDefault="004549AB" w:rsidP="004549A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9CC4CE" w14:textId="6AC5CEFB" w:rsidR="004549AB" w:rsidRPr="004549AB" w:rsidRDefault="004549AB" w:rsidP="004549AB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Mając na uwadze powyższe oraz określone przez organ kontrolujący obszary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przedmiotowe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i podmiotowe wyznacza się następujące kategorie ryzyka:</w:t>
      </w:r>
    </w:p>
    <w:p w14:paraId="7036F178" w14:textId="77777777" w:rsidR="004549AB" w:rsidRPr="004549AB" w:rsidRDefault="004549AB" w:rsidP="004549AB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1) kategoria niska – dla przedsiębiorców:</w:t>
      </w:r>
    </w:p>
    <w:p w14:paraId="055D92DD" w14:textId="5A2DF49C" w:rsidR="004549AB" w:rsidRPr="004549AB" w:rsidRDefault="004549AB" w:rsidP="004549A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składających w ustawowych terminach deklaracje na podatek od nieruchomości oraz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informacje o nieruchomościach i obiektach budowlanych,</w:t>
      </w:r>
    </w:p>
    <w:p w14:paraId="5FCBF6FC" w14:textId="77777777" w:rsidR="004549AB" w:rsidRDefault="004549AB" w:rsidP="004549AB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nieposiadających zaległości w płatnościach w podatku od nieruchomości,</w:t>
      </w:r>
      <w:r>
        <w:rPr>
          <w:rFonts w:ascii="Times New Roman" w:hAnsi="Times New Roman" w:cs="Times New Roman"/>
        </w:rPr>
        <w:t xml:space="preserve"> </w:t>
      </w:r>
    </w:p>
    <w:p w14:paraId="4B2B1413" w14:textId="77777777" w:rsidR="004549AB" w:rsidRDefault="004549AB" w:rsidP="004549AB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informujących organ podatkowy o wszelkich zmianach mających wpływ na ustalenie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wysokości podatku od nieruchomości w terminach przewidzianych przepisami prawa,</w:t>
      </w:r>
    </w:p>
    <w:p w14:paraId="65D24DB5" w14:textId="7D449593" w:rsidR="004549AB" w:rsidRPr="004549AB" w:rsidRDefault="004549AB" w:rsidP="004549AB">
      <w:pPr>
        <w:pStyle w:val="Akapitzlist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aktualizujących dane bez wezwania organu podatkowego;</w:t>
      </w:r>
    </w:p>
    <w:p w14:paraId="4FFC0540" w14:textId="77777777" w:rsidR="004549AB" w:rsidRPr="004549AB" w:rsidRDefault="004549AB" w:rsidP="004549AB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2) kategoria średnia – dla przedsiębiorców:</w:t>
      </w:r>
    </w:p>
    <w:p w14:paraId="605D0934" w14:textId="5300C15B" w:rsidR="004549AB" w:rsidRPr="004549AB" w:rsidRDefault="004549AB" w:rsidP="004549AB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mających sporadyczne opóźnienia w składaniu deklaracji na podatek od nieruchomości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oraz informacji o nieruchomościach i obiektach budowlanych,</w:t>
      </w:r>
    </w:p>
    <w:p w14:paraId="15ADEEB3" w14:textId="72A60757" w:rsidR="004549AB" w:rsidRPr="004549AB" w:rsidRDefault="004549AB" w:rsidP="004549AB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u których w analizowanych deklaracjach odnotowano sporadyczne błędy o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charakterze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formalnym,</w:t>
      </w:r>
    </w:p>
    <w:p w14:paraId="4CAAF6F5" w14:textId="788E59BF" w:rsidR="004549AB" w:rsidRPr="004549AB" w:rsidRDefault="004549AB" w:rsidP="004549AB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odpowiadających na wezwania organu podatkowego bez zbędnej zwłoki,</w:t>
      </w:r>
    </w:p>
    <w:p w14:paraId="55D0FC1B" w14:textId="56926941" w:rsidR="004549AB" w:rsidRPr="004549AB" w:rsidRDefault="004549AB" w:rsidP="004549AB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posiadający drobne opóźnienia w płatnościach w podatku od nieruchomości,</w:t>
      </w:r>
    </w:p>
    <w:p w14:paraId="210CC31E" w14:textId="7027B953" w:rsidR="004549AB" w:rsidRPr="004549AB" w:rsidRDefault="004549AB" w:rsidP="004549AB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u których stwierdzone nieprawidłowości były usuwane po wezwaniu organu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podatkowego i nie miały charakteru powtarzalnego ani umyślnego;</w:t>
      </w:r>
    </w:p>
    <w:p w14:paraId="01A619B6" w14:textId="77777777" w:rsidR="004549AB" w:rsidRPr="004549AB" w:rsidRDefault="004549AB" w:rsidP="004549AB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3) kategoria wysoka – dla przedsiębiorców:</w:t>
      </w:r>
    </w:p>
    <w:p w14:paraId="1EDAC225" w14:textId="28929554" w:rsidR="004549AB" w:rsidRPr="004549AB" w:rsidRDefault="004549AB" w:rsidP="004549AB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nieterminowo składających deklaracje na podatek od nieruchomości oraz informacje</w:t>
      </w:r>
      <w:r>
        <w:rPr>
          <w:rFonts w:ascii="Times New Roman" w:hAnsi="Times New Roman" w:cs="Times New Roman"/>
        </w:rPr>
        <w:t xml:space="preserve"> o </w:t>
      </w:r>
      <w:r w:rsidRPr="004549AB">
        <w:rPr>
          <w:rFonts w:ascii="Times New Roman" w:hAnsi="Times New Roman" w:cs="Times New Roman"/>
        </w:rPr>
        <w:t>nieruchomościach i obiektach budowlanych lub uporczywie uchylających się od ich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składania,</w:t>
      </w:r>
    </w:p>
    <w:p w14:paraId="216245A1" w14:textId="78E7DEC6" w:rsidR="004549AB" w:rsidRPr="004549AB" w:rsidRDefault="004549AB" w:rsidP="004549AB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u których stwierdzono powtarzające się błędy formalne i merytoryczne wpływające na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wysokość zobowiązania podatkowego,</w:t>
      </w:r>
    </w:p>
    <w:p w14:paraId="2E39DB2E" w14:textId="30837C2E" w:rsidR="004549AB" w:rsidRPr="004549AB" w:rsidRDefault="004549AB" w:rsidP="004549AB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nieinformujących organu podatkowego o zmianach mających wpływ na powstanie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obowiązku podatkowego lub wysokość zobowiązania podatkowego,</w:t>
      </w:r>
    </w:p>
    <w:p w14:paraId="41DB22BB" w14:textId="2A32A0A5" w:rsidR="004549AB" w:rsidRPr="004549AB" w:rsidRDefault="004549AB" w:rsidP="004549AB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posiadających zaległości w płatnościach w podatku od nieruchomości, w tym zaległości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długotrwałe lub znacznej wysokości,</w:t>
      </w:r>
    </w:p>
    <w:p w14:paraId="65E69744" w14:textId="53AC5995" w:rsidR="00080DCF" w:rsidRPr="004549AB" w:rsidRDefault="004549AB" w:rsidP="004549AB">
      <w:pPr>
        <w:pStyle w:val="Akapitzlist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</w:rPr>
      </w:pPr>
      <w:r w:rsidRPr="004549AB">
        <w:rPr>
          <w:rFonts w:ascii="Times New Roman" w:hAnsi="Times New Roman" w:cs="Times New Roman"/>
        </w:rPr>
        <w:t>niewspółpracujących z organem podatkowym, w szczególności nieodpowiadających na</w:t>
      </w:r>
      <w:r>
        <w:rPr>
          <w:rFonts w:ascii="Times New Roman" w:hAnsi="Times New Roman" w:cs="Times New Roman"/>
        </w:rPr>
        <w:t xml:space="preserve"> </w:t>
      </w:r>
      <w:r w:rsidRPr="004549AB">
        <w:rPr>
          <w:rFonts w:ascii="Times New Roman" w:hAnsi="Times New Roman" w:cs="Times New Roman"/>
        </w:rPr>
        <w:t>wezwania lub utrudniających czynności sprawdzające lub kontrolne.</w:t>
      </w:r>
    </w:p>
    <w:sectPr w:rsidR="00080DCF" w:rsidRPr="00454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3780"/>
    <w:multiLevelType w:val="hybridMultilevel"/>
    <w:tmpl w:val="E6A87E20"/>
    <w:lvl w:ilvl="0" w:tplc="B876F6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85B57"/>
    <w:multiLevelType w:val="hybridMultilevel"/>
    <w:tmpl w:val="FA0676D4"/>
    <w:lvl w:ilvl="0" w:tplc="1EB43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041E9"/>
    <w:multiLevelType w:val="hybridMultilevel"/>
    <w:tmpl w:val="4A005BBA"/>
    <w:lvl w:ilvl="0" w:tplc="B876F6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64346"/>
    <w:multiLevelType w:val="hybridMultilevel"/>
    <w:tmpl w:val="6902DBA0"/>
    <w:lvl w:ilvl="0" w:tplc="B876F6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E14676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F04ED"/>
    <w:multiLevelType w:val="hybridMultilevel"/>
    <w:tmpl w:val="2B76B64E"/>
    <w:lvl w:ilvl="0" w:tplc="B876F6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77320"/>
    <w:multiLevelType w:val="hybridMultilevel"/>
    <w:tmpl w:val="B64858A4"/>
    <w:lvl w:ilvl="0" w:tplc="B876F66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E716E"/>
    <w:multiLevelType w:val="hybridMultilevel"/>
    <w:tmpl w:val="99E2D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854616">
    <w:abstractNumId w:val="1"/>
  </w:num>
  <w:num w:numId="2" w16cid:durableId="1652173958">
    <w:abstractNumId w:val="6"/>
  </w:num>
  <w:num w:numId="3" w16cid:durableId="872033301">
    <w:abstractNumId w:val="2"/>
  </w:num>
  <w:num w:numId="4" w16cid:durableId="1431117989">
    <w:abstractNumId w:val="0"/>
  </w:num>
  <w:num w:numId="5" w16cid:durableId="2094351866">
    <w:abstractNumId w:val="4"/>
  </w:num>
  <w:num w:numId="6" w16cid:durableId="1588804299">
    <w:abstractNumId w:val="3"/>
  </w:num>
  <w:num w:numId="7" w16cid:durableId="15095232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CF"/>
    <w:rsid w:val="00080DCF"/>
    <w:rsid w:val="004549AB"/>
    <w:rsid w:val="00AC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9649"/>
  <w15:chartTrackingRefBased/>
  <w15:docId w15:val="{30456DA8-3BEA-467E-9C38-AC8F457F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80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0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0D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0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0D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0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0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0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0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0D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0D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0D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0D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0D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0D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0D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0D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0D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0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0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0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0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0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0D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0D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0D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0D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0D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0D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Niemczyk</dc:creator>
  <cp:keywords/>
  <dc:description/>
  <cp:lastModifiedBy>Aleksandra Niemczyk</cp:lastModifiedBy>
  <cp:revision>2</cp:revision>
  <dcterms:created xsi:type="dcterms:W3CDTF">2026-07-02T07:55:00Z</dcterms:created>
  <dcterms:modified xsi:type="dcterms:W3CDTF">2026-07-02T08:04:00Z</dcterms:modified>
</cp:coreProperties>
</file>